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956712">
              <w:rPr>
                <w:rFonts w:ascii="Times New Roman" w:eastAsia="Carlito" w:hAnsi="Times New Roman" w:cs="Times New Roman"/>
                <w:color w:val="000000"/>
                <w:sz w:val="20"/>
                <w:szCs w:val="20"/>
              </w:rPr>
              <w:t>0308307</w:t>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Psikolojik Danışma Kuramları</w:t>
            </w:r>
          </w:p>
        </w:tc>
        <w:tc>
          <w:tcPr>
            <w:tcW w:w="1276" w:type="dxa"/>
            <w:vAlign w:val="center"/>
          </w:tcPr>
          <w:p w:rsidR="0053441C" w:rsidRPr="0098058C" w:rsidRDefault="003324EB" w:rsidP="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Zorunlu</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956712"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Cuma</w:t>
            </w:r>
            <w:r w:rsidR="00B52027" w:rsidRPr="0098058C">
              <w:rPr>
                <w:rFonts w:ascii="Times New Roman" w:hAnsi="Times New Roman" w:cs="Times New Roman"/>
                <w:sz w:val="20"/>
                <w:szCs w:val="20"/>
              </w:rPr>
              <w:t xml:space="preserve"> günleri 1</w:t>
            </w:r>
            <w:r>
              <w:rPr>
                <w:rFonts w:ascii="Times New Roman" w:hAnsi="Times New Roman" w:cs="Times New Roman"/>
                <w:sz w:val="20"/>
                <w:szCs w:val="20"/>
              </w:rPr>
              <w:t>0</w:t>
            </w:r>
            <w:r w:rsidR="00B52027" w:rsidRPr="0098058C">
              <w:rPr>
                <w:rFonts w:ascii="Times New Roman" w:hAnsi="Times New Roman" w:cs="Times New Roman"/>
                <w:sz w:val="20"/>
                <w:szCs w:val="20"/>
              </w:rPr>
              <w:t>.</w:t>
            </w:r>
            <w:r>
              <w:rPr>
                <w:rFonts w:ascii="Times New Roman" w:hAnsi="Times New Roman" w:cs="Times New Roman"/>
                <w:sz w:val="20"/>
                <w:szCs w:val="20"/>
              </w:rPr>
              <w:t>1</w:t>
            </w:r>
            <w:r w:rsidR="00B52027" w:rsidRPr="0098058C">
              <w:rPr>
                <w:rFonts w:ascii="Times New Roman" w:hAnsi="Times New Roman" w:cs="Times New Roman"/>
                <w:sz w:val="20"/>
                <w:szCs w:val="20"/>
              </w:rPr>
              <w:t>0–1</w:t>
            </w:r>
            <w:r>
              <w:rPr>
                <w:rFonts w:ascii="Times New Roman" w:hAnsi="Times New Roman" w:cs="Times New Roman"/>
                <w:sz w:val="20"/>
                <w:szCs w:val="20"/>
              </w:rPr>
              <w:t>2</w:t>
            </w:r>
            <w:r w:rsidR="00B52027" w:rsidRPr="0098058C">
              <w:rPr>
                <w:rFonts w:ascii="Times New Roman" w:hAnsi="Times New Roman" w:cs="Times New Roman"/>
                <w:sz w:val="20"/>
                <w:szCs w:val="20"/>
              </w:rPr>
              <w:t>.00, Kilisli Muallim Rıfat Eğitim Fakültesi</w:t>
            </w:r>
            <w:r>
              <w:rPr>
                <w:rFonts w:ascii="Times New Roman" w:hAnsi="Times New Roman" w:cs="Times New Roman"/>
                <w:sz w:val="20"/>
                <w:szCs w:val="20"/>
              </w:rPr>
              <w:t>, Amfi Salonu</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956712" w:rsidRDefault="00956712" w:rsidP="00956712">
            <w:pPr>
              <w:pBdr>
                <w:top w:val="nil"/>
                <w:left w:val="nil"/>
                <w:bottom w:val="nil"/>
                <w:right w:val="nil"/>
                <w:between w:val="nil"/>
              </w:pBdr>
              <w:spacing w:before="54"/>
              <w:jc w:val="both"/>
              <w:rPr>
                <w:rFonts w:ascii="Times New Roman" w:eastAsia="Carlito" w:hAnsi="Times New Roman" w:cs="Times New Roman"/>
                <w:color w:val="000000"/>
                <w:sz w:val="20"/>
                <w:szCs w:val="20"/>
              </w:rPr>
            </w:pPr>
            <w:r w:rsidRPr="00956712">
              <w:rPr>
                <w:rFonts w:ascii="Times New Roman" w:eastAsia="Carlito" w:hAnsi="Times New Roman" w:cs="Times New Roman"/>
                <w:color w:val="000000"/>
                <w:sz w:val="20"/>
                <w:szCs w:val="20"/>
              </w:rPr>
              <w:t xml:space="preserve">Bu dersin amacı, psikolojik danışma sürecinde kullanılan başlıca kuramsal yaklaşımları tanıtmak ve öğrencilerin bu kuramların temel kavramlarını, insan doğasına ilişkin varsayımlarını, </w:t>
            </w:r>
            <w:r>
              <w:rPr>
                <w:rFonts w:ascii="Times New Roman" w:eastAsia="Carlito" w:hAnsi="Times New Roman" w:cs="Times New Roman"/>
                <w:color w:val="000000"/>
                <w:sz w:val="20"/>
                <w:szCs w:val="20"/>
              </w:rPr>
              <w:t>temel tekniklerini, danışan danışman ilişkisine bakış açıklarını</w:t>
            </w:r>
            <w:r w:rsidRPr="00956712">
              <w:rPr>
                <w:rFonts w:ascii="Times New Roman" w:eastAsia="Carlito" w:hAnsi="Times New Roman" w:cs="Times New Roman"/>
                <w:color w:val="000000"/>
                <w:sz w:val="20"/>
                <w:szCs w:val="20"/>
              </w:rPr>
              <w:t xml:space="preserve"> anlamalarını sağlamaktır.</w:t>
            </w:r>
            <w:r>
              <w:rPr>
                <w:rFonts w:ascii="Times New Roman" w:eastAsia="Carlito" w:hAnsi="Times New Roman" w:cs="Times New Roman"/>
                <w:color w:val="000000"/>
                <w:sz w:val="20"/>
                <w:szCs w:val="20"/>
              </w:rPr>
              <w:t xml:space="preserve"> Ö</w:t>
            </w:r>
            <w:r w:rsidRPr="00956712">
              <w:rPr>
                <w:rFonts w:ascii="Times New Roman" w:eastAsia="Carlito" w:hAnsi="Times New Roman" w:cs="Times New Roman"/>
                <w:color w:val="000000"/>
                <w:sz w:val="20"/>
                <w:szCs w:val="20"/>
              </w:rPr>
              <w:t>ğrencilerin, farklı kuramsal yaklaşımların psikolojik danışma sürecindeki uygulamalarını k</w:t>
            </w:r>
            <w:r>
              <w:rPr>
                <w:rFonts w:ascii="Times New Roman" w:eastAsia="Carlito" w:hAnsi="Times New Roman" w:cs="Times New Roman"/>
                <w:color w:val="000000"/>
                <w:sz w:val="20"/>
                <w:szCs w:val="20"/>
              </w:rPr>
              <w:t>ıyaslayabilmesi, bunun sonucunda</w:t>
            </w:r>
            <w:r w:rsidRPr="00956712">
              <w:rPr>
                <w:rFonts w:ascii="Times New Roman" w:eastAsia="Carlito" w:hAnsi="Times New Roman" w:cs="Times New Roman"/>
                <w:color w:val="000000"/>
                <w:sz w:val="20"/>
                <w:szCs w:val="20"/>
              </w:rPr>
              <w:t xml:space="preserve"> </w:t>
            </w:r>
            <w:r>
              <w:rPr>
                <w:rFonts w:ascii="Times New Roman" w:eastAsia="Carlito" w:hAnsi="Times New Roman" w:cs="Times New Roman"/>
                <w:color w:val="000000"/>
                <w:sz w:val="20"/>
                <w:szCs w:val="20"/>
              </w:rPr>
              <w:t>psikolojik danışma kuramlarının artı ve eksi yönlerini değerlendirebilmesi amaçlanmaktadır.</w:t>
            </w:r>
          </w:p>
          <w:p w:rsidR="0053441C" w:rsidRPr="0098058C" w:rsidRDefault="00956712" w:rsidP="00956712">
            <w:pPr>
              <w:pBdr>
                <w:top w:val="nil"/>
                <w:left w:val="nil"/>
                <w:bottom w:val="nil"/>
                <w:right w:val="nil"/>
                <w:between w:val="nil"/>
              </w:pBdr>
              <w:spacing w:before="54"/>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Dersin içeriği</w:t>
            </w:r>
            <w:r w:rsidRPr="00956712">
              <w:rPr>
                <w:rFonts w:ascii="Times New Roman" w:eastAsia="Carlito" w:hAnsi="Times New Roman" w:cs="Times New Roman"/>
                <w:color w:val="000000"/>
                <w:sz w:val="20"/>
                <w:szCs w:val="20"/>
              </w:rPr>
              <w:t>, psikolojik danışmada kullanılan temel kuramsal yaklaşımların kuramsal temellerini, tekniklerini ve uygulama biçimlerini kapsar.</w:t>
            </w:r>
            <w:r>
              <w:rPr>
                <w:rFonts w:ascii="Times New Roman" w:eastAsia="Carlito" w:hAnsi="Times New Roman" w:cs="Times New Roman"/>
                <w:color w:val="000000"/>
                <w:sz w:val="20"/>
                <w:szCs w:val="20"/>
              </w:rPr>
              <w:t xml:space="preserve"> Psikanaliz, birey merkezli terapi, bilişsel davranışçı gibi temel danışma kuramları dersin içeriğini oluşturmaktadır.</w:t>
            </w: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956712" w:rsidRPr="0098058C" w:rsidRDefault="00956712" w:rsidP="00956712">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roofErr w:type="spellStart"/>
            <w:r w:rsidRPr="00956712">
              <w:rPr>
                <w:rFonts w:ascii="Times New Roman" w:eastAsia="Carlito" w:hAnsi="Times New Roman" w:cs="Times New Roman"/>
                <w:color w:val="000000"/>
                <w:sz w:val="20"/>
                <w:szCs w:val="20"/>
              </w:rPr>
              <w:t>Murdock</w:t>
            </w:r>
            <w:proofErr w:type="spellEnd"/>
            <w:r w:rsidRPr="00956712">
              <w:rPr>
                <w:rFonts w:ascii="Times New Roman" w:eastAsia="Carlito" w:hAnsi="Times New Roman" w:cs="Times New Roman"/>
                <w:color w:val="000000"/>
                <w:sz w:val="20"/>
                <w:szCs w:val="20"/>
              </w:rPr>
              <w:t xml:space="preserve">, N. L. (2017). Psikolojik Danışma ve Psikoterapi Kuramları: Vaka Yaklaşımı. </w:t>
            </w:r>
            <w:proofErr w:type="spellStart"/>
            <w:r w:rsidRPr="00956712">
              <w:rPr>
                <w:rFonts w:ascii="Times New Roman" w:eastAsia="Carlito" w:hAnsi="Times New Roman" w:cs="Times New Roman"/>
                <w:color w:val="000000"/>
                <w:sz w:val="20"/>
                <w:szCs w:val="20"/>
              </w:rPr>
              <w:t>Pegem</w:t>
            </w:r>
            <w:proofErr w:type="spellEnd"/>
            <w:r w:rsidRPr="00956712">
              <w:rPr>
                <w:rFonts w:ascii="Times New Roman" w:eastAsia="Carlito" w:hAnsi="Times New Roman" w:cs="Times New Roman"/>
                <w:color w:val="000000"/>
                <w:sz w:val="20"/>
                <w:szCs w:val="20"/>
              </w:rPr>
              <w:t xml:space="preserve"> Akademi.</w:t>
            </w:r>
          </w:p>
          <w:p w:rsidR="00B52027" w:rsidRPr="0098058C" w:rsidRDefault="00B52027" w:rsidP="00B5202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956712">
              <w:rPr>
                <w:rFonts w:ascii="Times New Roman" w:hAnsi="Times New Roman" w:cs="Times New Roman"/>
                <w:sz w:val="20"/>
                <w:szCs w:val="20"/>
              </w:rPr>
              <w:t xml:space="preserve"> ve tartışma</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Psikolojik danışma temel kuramlarını</w:t>
                  </w:r>
                  <w:r w:rsidR="0043296D">
                    <w:rPr>
                      <w:rFonts w:ascii="Times New Roman" w:hAnsi="Times New Roman" w:cs="Times New Roman"/>
                      <w:sz w:val="20"/>
                      <w:szCs w:val="20"/>
                    </w:rPr>
                    <w:t xml:space="preserve"> öğrenir.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Psikolojik danışma kuramlarını</w:t>
                  </w:r>
                  <w:r w:rsidR="0043296D">
                    <w:rPr>
                      <w:rFonts w:ascii="Times New Roman" w:hAnsi="Times New Roman" w:cs="Times New Roman"/>
                      <w:sz w:val="20"/>
                      <w:szCs w:val="20"/>
                    </w:rPr>
                    <w:t>n uygulamasına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Psikolojik danışma</w:t>
                  </w:r>
                  <w:r w:rsidR="0043296D">
                    <w:rPr>
                      <w:rFonts w:ascii="Times New Roman" w:hAnsi="Times New Roman" w:cs="Times New Roman"/>
                      <w:sz w:val="20"/>
                      <w:szCs w:val="20"/>
                    </w:rPr>
                    <w:t>daki</w:t>
                  </w:r>
                  <w:r>
                    <w:rPr>
                      <w:rFonts w:ascii="Times New Roman" w:hAnsi="Times New Roman" w:cs="Times New Roman"/>
                      <w:sz w:val="20"/>
                      <w:szCs w:val="20"/>
                    </w:rPr>
                    <w:t xml:space="preserve"> </w:t>
                  </w:r>
                  <w:r w:rsidR="0043296D">
                    <w:rPr>
                      <w:rFonts w:ascii="Times New Roman" w:hAnsi="Times New Roman" w:cs="Times New Roman"/>
                      <w:sz w:val="20"/>
                      <w:szCs w:val="20"/>
                    </w:rPr>
                    <w:t xml:space="preserve">kuramsal </w:t>
                  </w:r>
                  <w:r>
                    <w:rPr>
                      <w:rFonts w:ascii="Times New Roman" w:hAnsi="Times New Roman" w:cs="Times New Roman"/>
                      <w:sz w:val="20"/>
                      <w:szCs w:val="20"/>
                    </w:rPr>
                    <w:t>tutum farklılıklarını</w:t>
                  </w:r>
                  <w:r w:rsidRPr="00B929CC">
                    <w:rPr>
                      <w:rFonts w:ascii="Times New Roman" w:hAnsi="Times New Roman" w:cs="Times New Roman"/>
                      <w:sz w:val="20"/>
                      <w:szCs w:val="20"/>
                    </w:rPr>
                    <w:t xml:space="preserve"> kavrayabil</w:t>
                  </w:r>
                  <w:r>
                    <w:rPr>
                      <w:rFonts w:ascii="Times New Roman" w:hAnsi="Times New Roman" w:cs="Times New Roman"/>
                      <w:sz w:val="20"/>
                      <w:szCs w:val="20"/>
                    </w:rPr>
                    <w:t>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 xml:space="preserve">Psikolojik danışma hizmetlerinde </w:t>
                  </w:r>
                  <w:r>
                    <w:rPr>
                      <w:rFonts w:ascii="Times New Roman" w:hAnsi="Times New Roman" w:cs="Times New Roman"/>
                      <w:sz w:val="20"/>
                      <w:szCs w:val="20"/>
                    </w:rPr>
                    <w:t xml:space="preserve">ve kuramlarla ilişkili </w:t>
                  </w:r>
                  <w:r w:rsidRPr="00B929CC">
                    <w:rPr>
                      <w:rFonts w:ascii="Times New Roman" w:hAnsi="Times New Roman" w:cs="Times New Roman"/>
                      <w:sz w:val="20"/>
                      <w:szCs w:val="20"/>
                    </w:rPr>
                    <w:t>etik kur</w:t>
                  </w:r>
                  <w:r>
                    <w:rPr>
                      <w:rFonts w:ascii="Times New Roman" w:hAnsi="Times New Roman" w:cs="Times New Roman"/>
                      <w:sz w:val="20"/>
                      <w:szCs w:val="20"/>
                    </w:rPr>
                    <w:t>alları fark edebilir.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P</w:t>
                  </w:r>
                  <w:r w:rsidR="0043296D">
                    <w:rPr>
                      <w:rFonts w:ascii="Times New Roman" w:hAnsi="Times New Roman" w:cs="Times New Roman"/>
                      <w:sz w:val="20"/>
                      <w:szCs w:val="20"/>
                    </w:rPr>
                    <w:t>DR</w:t>
                  </w:r>
                  <w:r w:rsidRPr="00B929CC">
                    <w:rPr>
                      <w:rFonts w:ascii="Times New Roman" w:hAnsi="Times New Roman" w:cs="Times New Roman"/>
                      <w:sz w:val="20"/>
                      <w:szCs w:val="20"/>
                    </w:rPr>
                    <w:t xml:space="preserve"> kuramları ile </w:t>
                  </w:r>
                  <w:r w:rsidR="0043296D">
                    <w:rPr>
                      <w:rFonts w:ascii="Times New Roman" w:hAnsi="Times New Roman" w:cs="Times New Roman"/>
                      <w:sz w:val="20"/>
                      <w:szCs w:val="20"/>
                    </w:rPr>
                    <w:t>PDR</w:t>
                  </w:r>
                  <w:r w:rsidRPr="00B929CC">
                    <w:rPr>
                      <w:rFonts w:ascii="Times New Roman" w:hAnsi="Times New Roman" w:cs="Times New Roman"/>
                      <w:sz w:val="20"/>
                      <w:szCs w:val="20"/>
                    </w:rPr>
                    <w:t xml:space="preserve"> hizmetlerini </w:t>
                  </w:r>
                  <w:proofErr w:type="spellStart"/>
                  <w:r w:rsidRPr="00B929CC">
                    <w:rPr>
                      <w:rFonts w:ascii="Times New Roman" w:hAnsi="Times New Roman" w:cs="Times New Roman"/>
                      <w:sz w:val="20"/>
                      <w:szCs w:val="20"/>
                    </w:rPr>
                    <w:t>bütünleştirebil</w:t>
                  </w:r>
                  <w:r>
                    <w:rPr>
                      <w:rFonts w:ascii="Times New Roman" w:hAnsi="Times New Roman" w:cs="Times New Roman"/>
                      <w:sz w:val="20"/>
                      <w:szCs w:val="20"/>
                    </w:rPr>
                    <w:t>ir</w:t>
                  </w:r>
                  <w:proofErr w:type="spellEnd"/>
                  <w:r>
                    <w:rPr>
                      <w:rFonts w:ascii="Times New Roman" w:hAnsi="Times New Roman" w:cs="Times New Roman"/>
                      <w:sz w:val="20"/>
                      <w:szCs w:val="20"/>
                    </w:rPr>
                    <w:t>.</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w:t>
                  </w:r>
                </w:p>
              </w:tc>
              <w:tc>
                <w:tcPr>
                  <w:tcW w:w="8015"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P</w:t>
                  </w:r>
                  <w:r w:rsidR="0043296D">
                    <w:rPr>
                      <w:rFonts w:ascii="Times New Roman" w:hAnsi="Times New Roman" w:cs="Times New Roman"/>
                      <w:sz w:val="20"/>
                      <w:szCs w:val="20"/>
                    </w:rPr>
                    <w:t>DR</w:t>
                  </w:r>
                  <w:r w:rsidRPr="00B929CC">
                    <w:rPr>
                      <w:rFonts w:ascii="Times New Roman" w:hAnsi="Times New Roman" w:cs="Times New Roman"/>
                      <w:sz w:val="20"/>
                      <w:szCs w:val="20"/>
                    </w:rPr>
                    <w:t xml:space="preserve"> kuramları</w:t>
                  </w:r>
                  <w:r w:rsidR="0043296D">
                    <w:rPr>
                      <w:rFonts w:ascii="Times New Roman" w:hAnsi="Times New Roman" w:cs="Times New Roman"/>
                      <w:sz w:val="20"/>
                      <w:szCs w:val="20"/>
                    </w:rPr>
                    <w:t>nın danışana yaklaşımdaki rolüne dair bilgi edinir.</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B929CC" w:rsidRDefault="001B161B">
                  <w:pPr>
                    <w:jc w:val="both"/>
                    <w:rPr>
                      <w:rFonts w:ascii="Times New Roman" w:hAnsi="Times New Roman" w:cs="Times New Roman"/>
                      <w:sz w:val="20"/>
                      <w:szCs w:val="20"/>
                    </w:rPr>
                  </w:pPr>
                  <w:r w:rsidRPr="00B929CC">
                    <w:rPr>
                      <w:rFonts w:ascii="Times New Roman" w:hAnsi="Times New Roman" w:cs="Times New Roman"/>
                      <w:sz w:val="20"/>
                      <w:szCs w:val="20"/>
                    </w:rPr>
                    <w:t>P</w:t>
                  </w:r>
                  <w:r w:rsidR="00B929CC" w:rsidRPr="00B929CC">
                    <w:rPr>
                      <w:rFonts w:ascii="Times New Roman" w:hAnsi="Times New Roman" w:cs="Times New Roman"/>
                      <w:sz w:val="20"/>
                      <w:szCs w:val="20"/>
                    </w:rPr>
                    <w:t>0</w:t>
                  </w:r>
                  <w:r w:rsidRPr="00B929CC">
                    <w:rPr>
                      <w:rFonts w:ascii="Times New Roman" w:hAnsi="Times New Roman" w:cs="Times New Roman"/>
                      <w:sz w:val="20"/>
                      <w:szCs w:val="20"/>
                    </w:rPr>
                    <w:t>1</w:t>
                  </w:r>
                </w:p>
              </w:tc>
              <w:tc>
                <w:tcPr>
                  <w:tcW w:w="8023" w:type="dxa"/>
                </w:tcPr>
                <w:p w:rsidR="0053441C" w:rsidRPr="00B929CC" w:rsidRDefault="00B929CC">
                  <w:pPr>
                    <w:jc w:val="both"/>
                    <w:rPr>
                      <w:rFonts w:ascii="Times New Roman" w:hAnsi="Times New Roman" w:cs="Times New Roman"/>
                      <w:sz w:val="20"/>
                      <w:szCs w:val="20"/>
                    </w:rPr>
                  </w:pPr>
                  <w:r w:rsidRPr="00B929CC">
                    <w:rPr>
                      <w:rFonts w:ascii="Times New Roman" w:hAnsi="Times New Roman" w:cs="Times New Roman"/>
                      <w:sz w:val="20"/>
                      <w:szCs w:val="20"/>
                      <w:lang w:val="tr-TR"/>
                    </w:rPr>
                    <w:t xml:space="preserve">Psikolojik danışma kuramları ve modellerine uygun olarak danışanın problemlerini kavramlaştırır, danışana uygun psikolojik danışma beceri ve </w:t>
                  </w:r>
                  <w:r w:rsidR="00B04D3F" w:rsidRPr="00B929CC">
                    <w:rPr>
                      <w:rFonts w:ascii="Times New Roman" w:hAnsi="Times New Roman" w:cs="Times New Roman"/>
                      <w:sz w:val="20"/>
                      <w:szCs w:val="20"/>
                      <w:lang w:val="tr-TR"/>
                    </w:rPr>
                    <w:t>müda</w:t>
                  </w:r>
                  <w:r w:rsidR="00B04D3F">
                    <w:rPr>
                      <w:rFonts w:ascii="Times New Roman" w:hAnsi="Times New Roman" w:cs="Times New Roman"/>
                      <w:sz w:val="20"/>
                      <w:szCs w:val="20"/>
                      <w:lang w:val="tr-TR"/>
                    </w:rPr>
                    <w:t>h</w:t>
                  </w:r>
                  <w:r w:rsidR="00B04D3F" w:rsidRPr="00B929CC">
                    <w:rPr>
                      <w:rFonts w:ascii="Times New Roman" w:hAnsi="Times New Roman" w:cs="Times New Roman"/>
                      <w:sz w:val="20"/>
                      <w:szCs w:val="20"/>
                      <w:lang w:val="tr-TR"/>
                    </w:rPr>
                    <w:t>a</w:t>
                  </w:r>
                  <w:r w:rsidR="00B04D3F">
                    <w:rPr>
                      <w:rFonts w:ascii="Times New Roman" w:hAnsi="Times New Roman" w:cs="Times New Roman"/>
                      <w:sz w:val="20"/>
                      <w:szCs w:val="20"/>
                      <w:lang w:val="tr-TR"/>
                    </w:rPr>
                    <w:t>l</w:t>
                  </w:r>
                  <w:r w:rsidR="00B04D3F" w:rsidRPr="00B929CC">
                    <w:rPr>
                      <w:rFonts w:ascii="Times New Roman" w:hAnsi="Times New Roman" w:cs="Times New Roman"/>
                      <w:sz w:val="20"/>
                      <w:szCs w:val="20"/>
                      <w:lang w:val="tr-TR"/>
                    </w:rPr>
                    <w:t>elerini</w:t>
                  </w:r>
                  <w:r w:rsidRPr="00B929CC">
                    <w:rPr>
                      <w:rFonts w:ascii="Times New Roman" w:hAnsi="Times New Roman" w:cs="Times New Roman"/>
                      <w:sz w:val="20"/>
                      <w:szCs w:val="20"/>
                      <w:lang w:val="tr-TR"/>
                    </w:rPr>
                    <w:t xml:space="preserve"> seçer.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B929CC">
                    <w:rPr>
                      <w:rFonts w:ascii="Times New Roman" w:hAnsi="Times New Roman" w:cs="Times New Roman"/>
                      <w:sz w:val="20"/>
                      <w:szCs w:val="20"/>
                    </w:rPr>
                    <w:t>02</w:t>
                  </w:r>
                </w:p>
              </w:tc>
              <w:tc>
                <w:tcPr>
                  <w:tcW w:w="8023" w:type="dxa"/>
                </w:tcPr>
                <w:p w:rsidR="00B929CC" w:rsidRPr="00B929CC" w:rsidRDefault="00B929CC" w:rsidP="00B929CC">
                  <w:pPr>
                    <w:jc w:val="both"/>
                    <w:rPr>
                      <w:rFonts w:ascii="Times New Roman" w:hAnsi="Times New Roman" w:cs="Times New Roman"/>
                      <w:sz w:val="20"/>
                      <w:szCs w:val="20"/>
                    </w:rPr>
                  </w:pPr>
                  <w:r w:rsidRPr="00B929CC">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p>
                <w:p w:rsidR="0053441C" w:rsidRPr="0098058C" w:rsidRDefault="00B929CC" w:rsidP="00B929CC">
                  <w:pPr>
                    <w:jc w:val="both"/>
                    <w:rPr>
                      <w:rFonts w:ascii="Times New Roman" w:hAnsi="Times New Roman" w:cs="Times New Roman"/>
                      <w:sz w:val="20"/>
                      <w:szCs w:val="20"/>
                    </w:rPr>
                  </w:pPr>
                  <w:proofErr w:type="gramStart"/>
                  <w:r w:rsidRPr="00B929CC">
                    <w:rPr>
                      <w:rFonts w:ascii="Times New Roman" w:hAnsi="Times New Roman" w:cs="Times New Roman"/>
                      <w:sz w:val="20"/>
                      <w:szCs w:val="20"/>
                    </w:rPr>
                    <w:t>hizmetlerinde</w:t>
                  </w:r>
                  <w:proofErr w:type="gramEnd"/>
                  <w:r w:rsidRPr="00B929CC">
                    <w:rPr>
                      <w:rFonts w:ascii="Times New Roman" w:hAnsi="Times New Roman" w:cs="Times New Roman"/>
                      <w:sz w:val="20"/>
                      <w:szCs w:val="20"/>
                    </w:rPr>
                    <w:t xml:space="preserve"> kullanır.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B929CC">
                    <w:rPr>
                      <w:rFonts w:ascii="Times New Roman" w:hAnsi="Times New Roman" w:cs="Times New Roman"/>
                      <w:sz w:val="20"/>
                      <w:szCs w:val="20"/>
                    </w:rPr>
                    <w:t>03</w:t>
                  </w:r>
                </w:p>
              </w:tc>
              <w:tc>
                <w:tcPr>
                  <w:tcW w:w="8023" w:type="dxa"/>
                </w:tcPr>
                <w:p w:rsidR="00B929CC" w:rsidRPr="00B929CC" w:rsidRDefault="00B929CC" w:rsidP="00B929CC">
                  <w:pPr>
                    <w:jc w:val="both"/>
                    <w:rPr>
                      <w:rFonts w:ascii="Times New Roman" w:hAnsi="Times New Roman" w:cs="Times New Roman"/>
                      <w:sz w:val="20"/>
                      <w:szCs w:val="20"/>
                    </w:rPr>
                  </w:pPr>
                  <w:r w:rsidRPr="00B929CC">
                    <w:rPr>
                      <w:rFonts w:ascii="Times New Roman" w:hAnsi="Times New Roman" w:cs="Times New Roman"/>
                      <w:sz w:val="20"/>
                      <w:szCs w:val="20"/>
                    </w:rPr>
                    <w:t>Okul psikolojik danışmanlığı, evlilik ve aile psikolojik danışmanlığı, kariyer psikolojik danışmanlığı, ruh sağlığı psikolojik danışmanlığı ve rehabilitasyon psikolojik danışmanlığı</w:t>
                  </w:r>
                </w:p>
                <w:p w:rsidR="0053441C" w:rsidRPr="0098058C" w:rsidRDefault="00B929CC" w:rsidP="00B929CC">
                  <w:pPr>
                    <w:jc w:val="both"/>
                    <w:rPr>
                      <w:rFonts w:ascii="Times New Roman" w:hAnsi="Times New Roman" w:cs="Times New Roman"/>
                      <w:sz w:val="20"/>
                      <w:szCs w:val="20"/>
                    </w:rPr>
                  </w:pPr>
                  <w:proofErr w:type="gramStart"/>
                  <w:r w:rsidRPr="00B929CC">
                    <w:rPr>
                      <w:rFonts w:ascii="Times New Roman" w:hAnsi="Times New Roman" w:cs="Times New Roman"/>
                      <w:sz w:val="20"/>
                      <w:szCs w:val="20"/>
                    </w:rPr>
                    <w:t>alanlarında</w:t>
                  </w:r>
                  <w:proofErr w:type="gramEnd"/>
                  <w:r w:rsidRPr="00B929CC">
                    <w:rPr>
                      <w:rFonts w:ascii="Times New Roman" w:hAnsi="Times New Roman" w:cs="Times New Roman"/>
                      <w:sz w:val="20"/>
                      <w:szCs w:val="20"/>
                    </w:rPr>
                    <w:t xml:space="preserve"> derin ve kapsamlı bilgiye sahiptir.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43296D">
                    <w:rPr>
                      <w:rFonts w:ascii="Times New Roman" w:hAnsi="Times New Roman" w:cs="Times New Roman"/>
                      <w:sz w:val="20"/>
                      <w:szCs w:val="20"/>
                    </w:rPr>
                    <w:t>08</w:t>
                  </w:r>
                </w:p>
              </w:tc>
              <w:tc>
                <w:tcPr>
                  <w:tcW w:w="8023" w:type="dxa"/>
                </w:tcPr>
                <w:p w:rsidR="0053441C" w:rsidRPr="0098058C" w:rsidRDefault="0043296D" w:rsidP="00B929CC">
                  <w:pPr>
                    <w:jc w:val="both"/>
                    <w:rPr>
                      <w:rFonts w:ascii="Times New Roman" w:hAnsi="Times New Roman" w:cs="Times New Roman"/>
                      <w:sz w:val="20"/>
                      <w:szCs w:val="20"/>
                    </w:rPr>
                  </w:pPr>
                  <w:r w:rsidRPr="0043296D">
                    <w:rPr>
                      <w:rFonts w:ascii="Times New Roman" w:hAnsi="Times New Roman" w:cs="Times New Roman"/>
                      <w:sz w:val="20"/>
                      <w:szCs w:val="20"/>
                    </w:rPr>
                    <w:t>Bağımsız bir uygulayıcı olarak bireysel ve grupla psikolojik danışma becerilerini sergiler.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B929CC">
                    <w:rPr>
                      <w:rFonts w:ascii="Times New Roman" w:hAnsi="Times New Roman" w:cs="Times New Roman"/>
                      <w:sz w:val="20"/>
                      <w:szCs w:val="20"/>
                    </w:rPr>
                    <w:t>05</w:t>
                  </w:r>
                </w:p>
              </w:tc>
              <w:tc>
                <w:tcPr>
                  <w:tcW w:w="8023" w:type="dxa"/>
                </w:tcPr>
                <w:p w:rsidR="0053441C" w:rsidRPr="0098058C" w:rsidRDefault="00B929CC">
                  <w:pPr>
                    <w:jc w:val="both"/>
                    <w:rPr>
                      <w:rFonts w:ascii="Times New Roman" w:hAnsi="Times New Roman" w:cs="Times New Roman"/>
                      <w:sz w:val="20"/>
                      <w:szCs w:val="20"/>
                    </w:rPr>
                  </w:pPr>
                  <w:r w:rsidRPr="00B929CC">
                    <w:rPr>
                      <w:rFonts w:ascii="Times New Roman" w:hAnsi="Times New Roman" w:cs="Times New Roman"/>
                      <w:sz w:val="20"/>
                      <w:szCs w:val="20"/>
                    </w:rPr>
                    <w:t>Çalışma alanları ile ilgili bilimsel yönteme ve tekniklere uygun, bilimsel etik ilkeleri çerçevesinde, bilimsel bir araştırmayı gerçekleştirecek derin ve kapsamlı bilgiye sahiptir.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rsidR="00891913" w:rsidRPr="0098058C" w:rsidRDefault="00956712" w:rsidP="00891913">
            <w:pPr>
              <w:pBdr>
                <w:top w:val="nil"/>
                <w:left w:val="nil"/>
                <w:bottom w:val="nil"/>
                <w:right w:val="nil"/>
                <w:between w:val="nil"/>
              </w:pBdr>
              <w:jc w:val="both"/>
              <w:rPr>
                <w:rFonts w:ascii="Times New Roman" w:eastAsia="Carlito" w:hAnsi="Times New Roman" w:cs="Times New Roman"/>
                <w:color w:val="000000"/>
                <w:sz w:val="20"/>
                <w:szCs w:val="20"/>
              </w:rPr>
            </w:pPr>
            <w:r w:rsidRPr="00956712">
              <w:rPr>
                <w:rFonts w:ascii="Times New Roman" w:eastAsia="Carlito" w:hAnsi="Times New Roman" w:cs="Times New Roman"/>
                <w:color w:val="000000"/>
                <w:sz w:val="20"/>
                <w:szCs w:val="20"/>
              </w:rPr>
              <w:t>Bu ders, psikolojik danışman adaylarının danışma sürecini kuramsal temellere dayalı olarak anlamalarını ve farklı kuramsal yaklaşımları uygulama becerisi geliştirmelerini sağlar. Öğrencilerin danışma becerilerini, mesleki kimliklerini ve etik farkındalıklarını güçlendirerek PDR alanında etkili ve bilimsel temelli bir mesleki yeterlik kazanmalarına katkı sunar.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eastAsia="Times New Roman" w:hAnsi="Times New Roman" w:cs="Times New Roman"/>
                    </w:rPr>
                    <w:t>Ders Tanıtımı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eastAsia="Times New Roman" w:hAnsi="Times New Roman" w:cs="Times New Roman"/>
                    </w:rPr>
                    <w:t>Psikanaliz</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Bireysel Psikoloji</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Birey Merkezli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Varoluşçu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Geştalt Terapi</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Davranışçı Terapi</w:t>
                  </w:r>
                </w:p>
              </w:tc>
            </w:tr>
            <w:tr w:rsidR="0053441C" w:rsidRPr="0098058C">
              <w:trPr>
                <w:trHeight w:val="256"/>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Akılcı Duygusal Davranışçı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hAnsi="Times New Roman" w:cs="Times New Roman"/>
                      <w:sz w:val="20"/>
                      <w:szCs w:val="20"/>
                    </w:rPr>
                    <w:t>Bilişsel Terapi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53441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Gerçeklik Terapisi</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98058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Feminist Terapi</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98058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 xml:space="preserve">Çözüm Odaklı Terapi </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98058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 xml:space="preserve">Anlatımsal Terapi </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98058C" w:rsidRPr="0098058C" w:rsidRDefault="00956712" w:rsidP="0098058C">
                  <w:pPr>
                    <w:jc w:val="both"/>
                    <w:rPr>
                      <w:rFonts w:ascii="Times New Roman" w:hAnsi="Times New Roman" w:cs="Times New Roman"/>
                      <w:sz w:val="20"/>
                      <w:szCs w:val="20"/>
                    </w:rPr>
                  </w:pPr>
                  <w:r>
                    <w:rPr>
                      <w:rFonts w:ascii="Times New Roman" w:hAnsi="Times New Roman" w:cs="Times New Roman"/>
                      <w:sz w:val="20"/>
                      <w:szCs w:val="20"/>
                    </w:rPr>
                    <w:t>Kuramların Genel Değerlendirilmesi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6</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B04D3F"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43296D" w:rsidP="00F32CE9">
            <w:pPr>
              <w:rPr>
                <w:rFonts w:ascii="Times New Roman" w:hAnsi="Times New Roman" w:cs="Times New Roman"/>
                <w:sz w:val="20"/>
                <w:szCs w:val="20"/>
              </w:rPr>
            </w:pPr>
            <w:r>
              <w:rPr>
                <w:rFonts w:ascii="Times New Roman" w:hAnsi="Times New Roman" w:cs="Times New Roman"/>
                <w:sz w:val="20"/>
                <w:szCs w:val="20"/>
              </w:rPr>
              <w:t>3</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3324EB"/>
    <w:rsid w:val="0043296D"/>
    <w:rsid w:val="0053441C"/>
    <w:rsid w:val="00891913"/>
    <w:rsid w:val="008E6CFA"/>
    <w:rsid w:val="00956712"/>
    <w:rsid w:val="0098058C"/>
    <w:rsid w:val="009B66F9"/>
    <w:rsid w:val="00B04D3F"/>
    <w:rsid w:val="00B52027"/>
    <w:rsid w:val="00B71428"/>
    <w:rsid w:val="00B929CC"/>
    <w:rsid w:val="00CA0F50"/>
    <w:rsid w:val="00CB3988"/>
    <w:rsid w:val="00D21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6018"/>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732</Words>
  <Characters>4177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6</cp:revision>
  <dcterms:created xsi:type="dcterms:W3CDTF">2025-10-16T14:12:00Z</dcterms:created>
  <dcterms:modified xsi:type="dcterms:W3CDTF">2025-10-20T06:08:00Z</dcterms:modified>
</cp:coreProperties>
</file>